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4B" w:rsidRDefault="003F594B" w:rsidP="003F594B">
      <w:pPr>
        <w:pStyle w:val="versales"/>
        <w:shd w:val="clear" w:color="auto" w:fill="FFFFFF"/>
        <w:jc w:val="both"/>
        <w:rPr>
          <w:rFonts w:ascii="Times" w:hAnsi="Times" w:cs="Times"/>
          <w:smallCaps/>
          <w:color w:val="9D0000"/>
        </w:rPr>
      </w:pPr>
      <w:r>
        <w:rPr>
          <w:rFonts w:ascii="Times" w:hAnsi="Times" w:cs="Times"/>
          <w:smallCaps/>
          <w:color w:val="9D0000"/>
        </w:rPr>
        <w:t>Convocatoria De la Comisión de Transparencia y Anticorrupción</w:t>
      </w:r>
    </w:p>
    <w:p w:rsidR="003F594B" w:rsidRDefault="003F594B" w:rsidP="003F594B">
      <w:pPr>
        <w:pStyle w:val="NormalWeb"/>
        <w:shd w:val="clear" w:color="auto" w:fill="FFFFFF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A la segunda reunión ordinaria, que tendrá lugar el miércoles 12 de diciembre, a las 11:00 horas, en la sala 3 del Edificio “I”.</w:t>
      </w:r>
    </w:p>
    <w:p w:rsidR="003F594B" w:rsidRDefault="003F594B" w:rsidP="003F594B">
      <w:pPr>
        <w:pStyle w:val="centrar"/>
        <w:shd w:val="clear" w:color="auto" w:fill="FFFFFF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Orden del Día</w:t>
      </w:r>
    </w:p>
    <w:p w:rsidR="003F594B" w:rsidRDefault="003F594B" w:rsidP="003F594B">
      <w:pPr>
        <w:pStyle w:val="sangria"/>
        <w:numPr>
          <w:ilvl w:val="0"/>
          <w:numId w:val="1"/>
        </w:numPr>
        <w:shd w:val="clear" w:color="auto" w:fill="FFFFFF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Lista de asistencia y declaración de quórum.</w:t>
      </w:r>
    </w:p>
    <w:p w:rsidR="003F594B" w:rsidRDefault="003F594B" w:rsidP="003F594B">
      <w:pPr>
        <w:pStyle w:val="sangria"/>
        <w:numPr>
          <w:ilvl w:val="0"/>
          <w:numId w:val="1"/>
        </w:numPr>
        <w:shd w:val="clear" w:color="auto" w:fill="FFFFFF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Lectura y aprobación del orden del día.</w:t>
      </w:r>
    </w:p>
    <w:p w:rsidR="003F594B" w:rsidRDefault="003F594B" w:rsidP="003F594B">
      <w:pPr>
        <w:pStyle w:val="sangria"/>
        <w:numPr>
          <w:ilvl w:val="0"/>
          <w:numId w:val="1"/>
        </w:numPr>
        <w:shd w:val="clear" w:color="auto" w:fill="FFFFFF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Lectura y aprobación del acta de la primera reunión ordinaria.</w:t>
      </w:r>
    </w:p>
    <w:p w:rsidR="003F594B" w:rsidRDefault="003F594B" w:rsidP="003F594B">
      <w:pPr>
        <w:pStyle w:val="sangria"/>
        <w:numPr>
          <w:ilvl w:val="0"/>
          <w:numId w:val="1"/>
        </w:numPr>
        <w:shd w:val="clear" w:color="auto" w:fill="FFFFFF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Integración de Subcomisiones y distribución de iniciativas y proposiciones turnadas a esta Comisión</w:t>
      </w:r>
    </w:p>
    <w:p w:rsidR="003F594B" w:rsidRDefault="003F594B" w:rsidP="003F594B">
      <w:pPr>
        <w:pStyle w:val="sangria"/>
        <w:numPr>
          <w:ilvl w:val="0"/>
          <w:numId w:val="1"/>
        </w:numPr>
        <w:shd w:val="clear" w:color="auto" w:fill="FFFFFF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Instrumentación del Programa Anual de Trabajo del mes de diciembre.</w:t>
      </w:r>
    </w:p>
    <w:p w:rsidR="003F594B" w:rsidRPr="005E149C" w:rsidRDefault="003F594B" w:rsidP="003F594B">
      <w:pPr>
        <w:pStyle w:val="sangria"/>
        <w:numPr>
          <w:ilvl w:val="0"/>
          <w:numId w:val="1"/>
        </w:numPr>
        <w:shd w:val="clear" w:color="auto" w:fill="FFFFFF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Inicio del proceso de Opinión sobre los presupuestos de egresos del SESNA y del INAI sobre los proyectos de Inversión para el año fiscal 2019 presentados ante la Comisión, para el año fiscal 2019</w:t>
      </w:r>
    </w:p>
    <w:p w:rsidR="003F594B" w:rsidRDefault="003F594B" w:rsidP="003F594B">
      <w:pPr>
        <w:pStyle w:val="sangria"/>
        <w:numPr>
          <w:ilvl w:val="0"/>
          <w:numId w:val="1"/>
        </w:numPr>
        <w:shd w:val="clear" w:color="auto" w:fill="FFFFFF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Declaración de sesión permanente</w:t>
      </w:r>
    </w:p>
    <w:p w:rsidR="003F594B" w:rsidRDefault="003F594B" w:rsidP="003F594B">
      <w:pPr>
        <w:pStyle w:val="sangria"/>
        <w:numPr>
          <w:ilvl w:val="0"/>
          <w:numId w:val="1"/>
        </w:numPr>
        <w:shd w:val="clear" w:color="auto" w:fill="FFFFFF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Asuntos Generales</w:t>
      </w:r>
    </w:p>
    <w:p w:rsidR="003F594B" w:rsidRDefault="003F594B" w:rsidP="003F594B">
      <w:pPr>
        <w:pStyle w:val="atentamente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2"/>
          <w:szCs w:val="22"/>
        </w:rPr>
      </w:pPr>
    </w:p>
    <w:p w:rsidR="003F594B" w:rsidRDefault="003F594B" w:rsidP="003F594B">
      <w:pPr>
        <w:pStyle w:val="atentamente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Atentamente</w:t>
      </w:r>
    </w:p>
    <w:p w:rsidR="003F594B" w:rsidRDefault="003F594B" w:rsidP="003F594B">
      <w:pPr>
        <w:pStyle w:val="atentamente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Diputado Oscar González Yáñez</w:t>
      </w:r>
    </w:p>
    <w:p w:rsidR="003F594B" w:rsidRDefault="003F594B" w:rsidP="003F594B">
      <w:pPr>
        <w:pStyle w:val="atentamente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Presidente</w:t>
      </w:r>
    </w:p>
    <w:p w:rsidR="00314DFE" w:rsidRDefault="00314DFE">
      <w:bookmarkStart w:id="0" w:name="_GoBack"/>
      <w:bookmarkEnd w:id="0"/>
    </w:p>
    <w:sectPr w:rsidR="00314D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C09B5"/>
    <w:multiLevelType w:val="hybridMultilevel"/>
    <w:tmpl w:val="DA22C208"/>
    <w:lvl w:ilvl="0" w:tplc="0C0A000F">
      <w:start w:val="1"/>
      <w:numFmt w:val="decimal"/>
      <w:lvlText w:val="%1."/>
      <w:lvlJc w:val="left"/>
      <w:pPr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4B"/>
    <w:rsid w:val="00314DFE"/>
    <w:rsid w:val="003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8AAD0-6632-400C-BE92-ABC96272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3F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F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ntrar">
    <w:name w:val="centrar"/>
    <w:basedOn w:val="Normal"/>
    <w:rsid w:val="003F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angria">
    <w:name w:val="sangria"/>
    <w:basedOn w:val="Normal"/>
    <w:rsid w:val="003F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tentamente">
    <w:name w:val="atentamente"/>
    <w:basedOn w:val="Normal"/>
    <w:rsid w:val="003F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2018-12-06T23:52:00Z</dcterms:created>
  <dcterms:modified xsi:type="dcterms:W3CDTF">2018-12-06T23:54:00Z</dcterms:modified>
</cp:coreProperties>
</file>